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E1" w:rsidRPr="008E15E1" w:rsidRDefault="008E15E1" w:rsidP="008E15E1">
      <w:pPr>
        <w:spacing w:after="360" w:line="240" w:lineRule="auto"/>
        <w:outlineLvl w:val="1"/>
        <w:rPr>
          <w:rFonts w:ascii="futura-pt" w:eastAsia="Times New Roman" w:hAnsi="futura-pt" w:cs="Segoe UI"/>
          <w:b/>
          <w:bCs/>
          <w:color w:val="29404E"/>
          <w:sz w:val="36"/>
          <w:szCs w:val="36"/>
          <w:lang w:eastAsia="cs-CZ"/>
        </w:rPr>
      </w:pPr>
      <w:r w:rsidRPr="008E15E1">
        <w:rPr>
          <w:rFonts w:ascii="futura-pt" w:eastAsia="Times New Roman" w:hAnsi="futura-pt" w:cs="Segoe UI"/>
          <w:b/>
          <w:bCs/>
          <w:color w:val="29404E"/>
          <w:sz w:val="36"/>
          <w:szCs w:val="36"/>
          <w:lang w:eastAsia="cs-CZ"/>
        </w:rPr>
        <w:t>Výroční zpráva dle zákona o svobodném přístupu k informacím</w:t>
      </w:r>
    </w:p>
    <w:p w:rsidR="008E15E1" w:rsidRPr="008E15E1" w:rsidRDefault="008E15E1" w:rsidP="008E15E1">
      <w:pPr>
        <w:spacing w:after="100" w:afterAutospacing="1" w:line="240" w:lineRule="auto"/>
        <w:rPr>
          <w:rFonts w:ascii="Roboto" w:eastAsia="Times New Roman" w:hAnsi="Roboto" w:cs="Segoe UI"/>
          <w:color w:val="212529"/>
          <w:sz w:val="24"/>
          <w:szCs w:val="24"/>
          <w:lang w:eastAsia="cs-CZ"/>
        </w:rPr>
      </w:pPr>
      <w:r w:rsidRPr="008E15E1">
        <w:rPr>
          <w:rFonts w:ascii="Roboto" w:eastAsia="Times New Roman" w:hAnsi="Roboto" w:cs="Segoe UI"/>
          <w:color w:val="212529"/>
          <w:sz w:val="24"/>
          <w:szCs w:val="24"/>
          <w:lang w:eastAsia="cs-CZ"/>
        </w:rPr>
        <w:t>Vzor výroční zprávy, kterou musí obce, městské části/obvody i dobrovolné svazky obcí každý rok zpracovat a zveřejnit.</w:t>
      </w:r>
    </w:p>
    <w:p w:rsidR="008E15E1" w:rsidRPr="008E15E1" w:rsidRDefault="008E15E1" w:rsidP="008E15E1">
      <w:pPr>
        <w:spacing w:after="0" w:line="240" w:lineRule="auto"/>
        <w:jc w:val="center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 xml:space="preserve">Výroční zpráva za rok </w:t>
      </w:r>
      <w:r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>2022</w:t>
      </w:r>
    </w:p>
    <w:p w:rsidR="008E15E1" w:rsidRPr="008E15E1" w:rsidRDefault="008E15E1" w:rsidP="008E15E1">
      <w:pPr>
        <w:spacing w:after="0" w:line="240" w:lineRule="auto"/>
        <w:jc w:val="center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o činnosti obce 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města statutárního města Hlavního města městyse městského obvodu městské části doborovolného svazku obcí (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Velká Buková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)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 v oblasti poskytování informací dle § 18 zákona č. 106/1999 Sb., o svobodném přístupu k informacím</w:t>
      </w:r>
    </w:p>
    <w:p w:rsidR="00146E88" w:rsidRDefault="00146E88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>a) počet podaných žádostí o informace a počet vydaných rozhodnutí o odmítnutí žádosti</w:t>
      </w:r>
    </w:p>
    <w:p w:rsid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- počet žádostí o informace dle zákona o svobodném přístupu k informacím, které obec obdržela v roce 2022: </w:t>
      </w:r>
      <w:r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0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- počet rozhodnutí o odmítnutí žádosti: </w:t>
      </w:r>
      <w:r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0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noProof/>
          <w:color w:val="212529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137BC" id="Obdélník 5" o:spid="_x0000_s1026" alt="https://www.poradnaproobce.cz/templates/images/autodok/hel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YwhqewCAAAA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- počet rozhodnutí o částečném odmítnutí žádosti: </w:t>
      </w:r>
      <w:r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0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noProof/>
          <w:color w:val="212529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93FAB" id="Obdélník 3" o:spid="_x0000_s1026" alt="https://www.poradnaproobce.cz/templates/images/autodok/hel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TiJ+uOwCAAAA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 xml:space="preserve">b) počet podaných odvolání proti rozhodnutí: 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Vydal soud nějaký rozsudek o odmítnutí žádosti o poskytnutí informace? 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5.5pt;height:18pt" o:ole="">
            <v:imagedata r:id="rId4" o:title=""/>
          </v:shape>
          <w:control r:id="rId5" w:name="DefaultOcxName" w:shapeid="_x0000_i1030"/>
        </w:objec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- žádný rozsudek ve věci přezkoumání zákonnosti rozhodnutí obce o odmítnutí žádosti o poskytnutí informace nebyl v roce 2022 vydán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noProof/>
          <w:vanish/>
          <w:color w:val="212529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E330C" id="Obdélník 2" o:spid="_x0000_s1026" alt="https://www.poradnaproobce.cz/templates/images/autodok/hel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BNcUuwCAAAA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Poskytli jste výhradní licenci pro další šíření poskytované informace? 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</w:rPr>
        <w:object w:dxaOrig="1440" w:dyaOrig="1440">
          <v:shape id="_x0000_i1033" type="#_x0000_t75" style="width:55.5pt;height:18pt" o:ole="">
            <v:imagedata r:id="rId4" o:title=""/>
          </v:shape>
          <w:control r:id="rId6" w:name="DefaultOcxName1" w:shapeid="_x0000_i1033"/>
        </w:objec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>d) výčet poskytnutých výhradních licencí, včetně odůvodnění nezbytnosti poskytnutí výhradní licence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- výhradní licence v roce 2022 nebyly poskytnuty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noProof/>
          <w:vanish/>
          <w:color w:val="212529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E0BAD" id="Obdélník 1" o:spid="_x0000_s1026" alt="https://www.poradnaproobce.cz/templates/images/autodok/hel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NHS7fqAgAAA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 xml:space="preserve">e) počet stížností podaných podle § 16a zákona o svobodném přístupu k informacím, důvody jejich podání a stručný popis způsobu jejich vyřízení: 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Příklad možného textu: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br/>
        <w:t>Počet stížností: 2.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br/>
        <w:t>Důvody podání a způsob vyřízení: v 1 případě vyřízena stížnost dle § 16a odst. 5 zákona o svobodném přístupu k informacím poskytnutím informace, v 1 případě žadatel rozporoval výši úhrady, obec uznala oprávněnost stížnosti a poskytla informaci bezplatně.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b/>
          <w:bCs/>
          <w:color w:val="212529"/>
          <w:sz w:val="24"/>
          <w:szCs w:val="24"/>
          <w:lang w:eastAsia="cs-CZ"/>
        </w:rPr>
        <w:t>f) další informace vztahující se k uplatňování tohoto zákona</w:t>
      </w:r>
    </w:p>
    <w:p w:rsidR="008E15E1" w:rsidRPr="008E15E1" w:rsidRDefault="008E15E1" w:rsidP="008E15E1">
      <w:pPr>
        <w:spacing w:after="0" w:line="240" w:lineRule="auto"/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</w:pP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- obec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městostatutární městoHlavní městoměstysměstský obvodměstská částdobrovolný svazek obcí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 jako povinný subjekt vyřizuje žádosti o informace vztahující se k její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jehojehojehojehojehojehojeho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 xml:space="preserve"> působnosti dle zákona o svobodném přístupu k informacím, žádosti je možné podávat ústně nebo písemně na adresu obecního úřadu i na elektronickou podatelnu obce</w:t>
      </w:r>
      <w:r w:rsidRPr="008E15E1">
        <w:rPr>
          <w:rFonts w:ascii="Open Sans" w:eastAsia="Times New Roman" w:hAnsi="Open Sans" w:cs="Segoe UI"/>
          <w:vanish/>
          <w:color w:val="212529"/>
          <w:sz w:val="24"/>
          <w:szCs w:val="24"/>
          <w:lang w:eastAsia="cs-CZ"/>
        </w:rPr>
        <w:t>městského úřadu i na elektronickou podatelnu městamagistrátu i na elektronickou podatelnu městamagistrátu i na elektronickou podatelnu Hlavního města Prahyúřadu městyse i na elektronickou podatelnu městyseúřadu městského obvodu i na elektronickou podatelnu městského obvoduúřadu městské části i na elektronickou podatelnu městské částisídla</w:t>
      </w:r>
      <w:r w:rsidRPr="008E15E1">
        <w:rPr>
          <w:rFonts w:ascii="Open Sans" w:eastAsia="Times New Roman" w:hAnsi="Open Sans" w:cs="Segoe UI"/>
          <w:color w:val="212529"/>
          <w:sz w:val="24"/>
          <w:szCs w:val="24"/>
          <w:lang w:eastAsia="cs-CZ"/>
        </w:rPr>
        <w:t>, žádost musí splňovat náležitosti § 14 zákona o svobodném přístupu k informacím</w:t>
      </w:r>
    </w:p>
    <w:p w:rsidR="007F18B6" w:rsidRDefault="007F18B6"/>
    <w:p w:rsidR="00146E88" w:rsidRDefault="00146E88"/>
    <w:p w:rsidR="00146E88" w:rsidRDefault="00146E88">
      <w:r>
        <w:t>Zveřejněno dne:  28.2.2023</w:t>
      </w:r>
      <w:bookmarkStart w:id="0" w:name="_GoBack"/>
      <w:bookmarkEnd w:id="0"/>
    </w:p>
    <w:sectPr w:rsidR="001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utura-p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1"/>
    <w:rsid w:val="00146E88"/>
    <w:rsid w:val="007F18B6"/>
    <w:rsid w:val="008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F79B01D-5F2E-4ECC-BD49-ED73CFD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E15E1"/>
    <w:pPr>
      <w:spacing w:after="100" w:afterAutospacing="1" w:line="240" w:lineRule="auto"/>
      <w:outlineLvl w:val="1"/>
    </w:pPr>
    <w:rPr>
      <w:rFonts w:ascii="futura-pt" w:eastAsia="Times New Roman" w:hAnsi="futura-p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15E1"/>
    <w:rPr>
      <w:rFonts w:ascii="futura-pt" w:eastAsia="Times New Roman" w:hAnsi="futura-pt" w:cs="Times New Roman"/>
      <w:sz w:val="36"/>
      <w:szCs w:val="36"/>
      <w:lang w:eastAsia="cs-CZ"/>
    </w:rPr>
  </w:style>
  <w:style w:type="paragraph" w:customStyle="1" w:styleId="mb-5">
    <w:name w:val="mb-5"/>
    <w:basedOn w:val="Normln"/>
    <w:rsid w:val="008E15E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3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6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95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1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4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66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51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67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09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1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14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4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79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7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8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00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7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2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4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0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3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7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97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2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1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6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41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2023-02-24T16:41:00Z</dcterms:created>
  <dcterms:modified xsi:type="dcterms:W3CDTF">2023-02-24T16:45:00Z</dcterms:modified>
</cp:coreProperties>
</file>